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0935" w14:textId="77777777" w:rsidR="00B0601E" w:rsidRPr="0055472B" w:rsidRDefault="00B0601E" w:rsidP="00B0601E">
      <w:pPr>
        <w:spacing w:line="360" w:lineRule="auto"/>
        <w:rPr>
          <w:rFonts w:ascii="Avenir Next" w:hAnsi="Avenir Next"/>
        </w:rPr>
      </w:pPr>
    </w:p>
    <w:p w14:paraId="0DC4E0E1" w14:textId="58C8ACC2" w:rsidR="0055472B" w:rsidRPr="005535C1" w:rsidRDefault="00834406" w:rsidP="0055472B">
      <w:pPr>
        <w:spacing w:line="360" w:lineRule="auto"/>
        <w:rPr>
          <w:rFonts w:ascii="Avenir Next" w:hAnsi="Avenir Next" w:cs="Arial"/>
          <w:b/>
          <w:iCs/>
          <w:sz w:val="32"/>
          <w:szCs w:val="22"/>
          <w:lang w:val="es-HN"/>
        </w:rPr>
      </w:pPr>
      <w:r w:rsidRPr="005535C1">
        <w:rPr>
          <w:rFonts w:ascii="Avenir Next" w:eastAsia="Times New Roman" w:hAnsi="Avenir Next" w:cs="Arial"/>
          <w:b/>
          <w:bCs/>
          <w:color w:val="000000"/>
          <w:lang w:val="es-HN" w:eastAsia="es-ES_tradnl"/>
        </w:rPr>
        <w:br/>
      </w:r>
      <w:r w:rsidRPr="005535C1">
        <w:rPr>
          <w:rFonts w:ascii="Avenir Next" w:eastAsia="Times New Roman" w:hAnsi="Avenir Next" w:cs="Arial"/>
          <w:b/>
          <w:bCs/>
          <w:color w:val="FFFFFF" w:themeColor="background1"/>
          <w:lang w:val="es-HN" w:eastAsia="es-ES_tradnl"/>
        </w:rPr>
        <w:t>COMUNICADO</w:t>
      </w:r>
      <w:r w:rsidR="0008748A" w:rsidRPr="005535C1">
        <w:rPr>
          <w:rFonts w:ascii="Avenir Next" w:eastAsia="Times New Roman" w:hAnsi="Avenir Next" w:cs="Arial"/>
          <w:b/>
          <w:bCs/>
          <w:color w:val="FFFFFF" w:themeColor="background1"/>
          <w:lang w:val="es-HN" w:eastAsia="es-ES_tradnl"/>
        </w:rPr>
        <w:t xml:space="preserve"> DE PRENSA</w:t>
      </w:r>
    </w:p>
    <w:p w14:paraId="23524D5A" w14:textId="32505AF4" w:rsidR="00173E43" w:rsidRDefault="00173E43" w:rsidP="00173E43">
      <w:pPr>
        <w:jc w:val="both"/>
        <w:rPr>
          <w:rFonts w:ascii="Avenir Next" w:hAnsi="Avenir Next" w:cs="Arial"/>
          <w:b/>
          <w:sz w:val="28"/>
          <w:szCs w:val="28"/>
        </w:rPr>
      </w:pPr>
      <w:r w:rsidRPr="00173E43">
        <w:rPr>
          <w:rFonts w:ascii="Avenir Next" w:hAnsi="Avenir Next" w:cs="Arial"/>
          <w:b/>
          <w:sz w:val="28"/>
          <w:szCs w:val="28"/>
        </w:rPr>
        <w:t xml:space="preserve">Inversión en el primer “Bono Deportivo” emitido por el Banco Centroamericano de Integración Económica </w:t>
      </w:r>
    </w:p>
    <w:p w14:paraId="5F6192C6" w14:textId="77777777" w:rsidR="00173E43" w:rsidRPr="00173E43" w:rsidRDefault="00173E43" w:rsidP="00173E43">
      <w:pPr>
        <w:jc w:val="both"/>
        <w:rPr>
          <w:rFonts w:ascii="Avenir Next" w:hAnsi="Avenir Next" w:cs="Arial"/>
          <w:b/>
          <w:sz w:val="28"/>
          <w:szCs w:val="28"/>
        </w:rPr>
      </w:pPr>
    </w:p>
    <w:p w14:paraId="30159A33" w14:textId="14E47AD8" w:rsidR="005535C1" w:rsidRDefault="00173E43" w:rsidP="00173E43">
      <w:pPr>
        <w:pStyle w:val="ListParagraph"/>
        <w:numPr>
          <w:ilvl w:val="0"/>
          <w:numId w:val="4"/>
        </w:numPr>
        <w:jc w:val="both"/>
        <w:rPr>
          <w:rFonts w:ascii="Avenir Next" w:hAnsi="Avenir Next" w:cs="Arial"/>
          <w:b/>
          <w:sz w:val="22"/>
          <w:szCs w:val="22"/>
        </w:rPr>
      </w:pPr>
      <w:r w:rsidRPr="00173E43">
        <w:rPr>
          <w:rFonts w:ascii="Avenir Next" w:hAnsi="Avenir Next" w:cs="Arial"/>
          <w:b/>
          <w:sz w:val="22"/>
          <w:szCs w:val="22"/>
        </w:rPr>
        <w:t>Contribuyendo al desarrollo del deporte a través de la educación de los deportistas y la ampliación de las instalaciones</w:t>
      </w:r>
      <w:r>
        <w:rPr>
          <w:rFonts w:ascii="Avenir Next" w:hAnsi="Avenir Next" w:cs="Arial"/>
          <w:b/>
          <w:sz w:val="22"/>
          <w:szCs w:val="22"/>
        </w:rPr>
        <w:t>.</w:t>
      </w:r>
    </w:p>
    <w:p w14:paraId="74B54F27" w14:textId="77777777" w:rsid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64DDB72E" w14:textId="48A58B65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  <w:r>
        <w:rPr>
          <w:rFonts w:ascii="Avenir Next" w:hAnsi="Avenir Next" w:cs="Arial"/>
          <w:b/>
          <w:sz w:val="22"/>
          <w:szCs w:val="22"/>
        </w:rPr>
        <w:t xml:space="preserve">Tegucigalpa, </w:t>
      </w:r>
      <w:r w:rsidR="0030444B">
        <w:rPr>
          <w:rFonts w:ascii="Avenir Next" w:hAnsi="Avenir Next" w:cs="Arial"/>
          <w:b/>
          <w:sz w:val="22"/>
          <w:szCs w:val="22"/>
        </w:rPr>
        <w:t>26</w:t>
      </w:r>
      <w:r>
        <w:rPr>
          <w:rFonts w:ascii="Avenir Next" w:hAnsi="Avenir Next" w:cs="Arial"/>
          <w:b/>
          <w:sz w:val="22"/>
          <w:szCs w:val="22"/>
        </w:rPr>
        <w:t xml:space="preserve"> mayo de 2023.- </w:t>
      </w:r>
      <w:r w:rsidRPr="0009254F">
        <w:rPr>
          <w:rFonts w:ascii="Avenir Next" w:hAnsi="Avenir Next" w:cs="Arial"/>
          <w:b/>
          <w:sz w:val="22"/>
          <w:szCs w:val="22"/>
        </w:rPr>
        <w:t xml:space="preserve">Meiji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Yasuda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Life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Insurance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Company y el Banco Centroamericano de Integración Económica anuncian que Meiji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Yasuda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Life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Insurance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ha invertido en el primer "Bono Deportivo" del mundo emitido por el BCIE, con el objetivo de apoyar el desarrollo deportivo a través de la educación de los deportistas y la expansión de las instalaciones, mediante la compra del monto total de la emisión por AUD100 millones (aproximadamente </w:t>
      </w:r>
      <w:r w:rsidR="006561E4">
        <w:rPr>
          <w:rFonts w:ascii="Avenir Next" w:hAnsi="Avenir Next" w:cs="Arial"/>
          <w:b/>
          <w:sz w:val="22"/>
          <w:szCs w:val="22"/>
        </w:rPr>
        <w:t xml:space="preserve">9.1 </w:t>
      </w:r>
      <w:r w:rsidRPr="0009254F">
        <w:rPr>
          <w:rFonts w:ascii="Avenir Next" w:hAnsi="Avenir Next" w:cs="Arial"/>
          <w:b/>
          <w:sz w:val="22"/>
          <w:szCs w:val="22"/>
        </w:rPr>
        <w:t xml:space="preserve">mil millones de yenes) del Bono. Barclays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Securities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Japan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Limited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actuó como único estructurador de la emisión.</w:t>
      </w:r>
      <w:r w:rsidR="006561E4" w:rsidRPr="006561E4">
        <w:rPr>
          <w:rFonts w:ascii="Arial" w:hAnsi="Arial" w:cs="Arial"/>
          <w:sz w:val="20"/>
          <w:szCs w:val="20"/>
        </w:rPr>
        <w:t xml:space="preserve"> </w:t>
      </w:r>
    </w:p>
    <w:p w14:paraId="28C93C06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4B1083A0" w14:textId="5329694D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  <w:r w:rsidRPr="0009254F">
        <w:rPr>
          <w:rFonts w:ascii="Avenir Next" w:hAnsi="Avenir Next" w:cs="Arial"/>
          <w:b/>
          <w:sz w:val="22"/>
          <w:szCs w:val="22"/>
        </w:rPr>
        <w:t>El BCIE fue creado en 1960 como el Banco Multilateral de Desarrollo de la región centroamericana y actualmente cuenta con 15 Países Miembros. El BCIE dentro de su Estrategia Institucional 2020-2024 tiene como misión promover la integración y el desarrollo económicos y social equilibrado de la región centroamericana; y como parte de esta misión, también se enfoca en la promoción de la educación y del deporte en sus Países Miembros.</w:t>
      </w:r>
    </w:p>
    <w:p w14:paraId="53967BF9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4F1EDA0B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  <w:r w:rsidRPr="0009254F">
        <w:rPr>
          <w:rFonts w:ascii="Avenir Next" w:hAnsi="Avenir Next" w:cs="Arial"/>
          <w:b/>
          <w:sz w:val="22"/>
          <w:szCs w:val="22"/>
        </w:rPr>
        <w:t>Los fondos recaudados por el Bono se destinarán a la educación de los deportistas y la construcción de instalaciones deportivas beneficiando a 422 centros educativos para desarrollar el talento deportivo en niños y jóvenes, con un estimado de 130,701 estudiantes beneficiarios; en adición, se espera promover la salud de las personas y dinamizar la economía a través del deporte.</w:t>
      </w:r>
    </w:p>
    <w:p w14:paraId="6D9FC8FC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25EE6874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  <w:r w:rsidRPr="0009254F">
        <w:rPr>
          <w:rFonts w:ascii="Avenir Next" w:hAnsi="Avenir Next" w:cs="Arial"/>
          <w:b/>
          <w:sz w:val="22"/>
          <w:szCs w:val="22"/>
        </w:rPr>
        <w:t xml:space="preserve">Meiji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Yasuda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Life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Insurance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se ha enfocado en el poder de los deportes para "motivar a las personas", "acercar a las personas" y "unir a las personas", y ha participado en diversas actividades de apoyo deportivo en colaboración con Meiji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Yasuda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Life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</w:t>
      </w:r>
      <w:proofErr w:type="spellStart"/>
      <w:r w:rsidRPr="0009254F">
        <w:rPr>
          <w:rFonts w:ascii="Avenir Next" w:hAnsi="Avenir Next" w:cs="Arial"/>
          <w:b/>
          <w:sz w:val="22"/>
          <w:szCs w:val="22"/>
        </w:rPr>
        <w:t>Insurance</w:t>
      </w:r>
      <w:proofErr w:type="spellEnd"/>
      <w:r w:rsidRPr="0009254F">
        <w:rPr>
          <w:rFonts w:ascii="Avenir Next" w:hAnsi="Avenir Next" w:cs="Arial"/>
          <w:b/>
          <w:sz w:val="22"/>
          <w:szCs w:val="22"/>
        </w:rPr>
        <w:t xml:space="preserve"> J-League, y la Asociación de Golf Profesional de Damas de Japón, entre otras organizaciones.</w:t>
      </w:r>
    </w:p>
    <w:p w14:paraId="4629FC30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046BF753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  <w:r w:rsidRPr="0009254F">
        <w:rPr>
          <w:rFonts w:ascii="Avenir Next" w:hAnsi="Avenir Next" w:cs="Arial"/>
          <w:b/>
          <w:sz w:val="22"/>
          <w:szCs w:val="22"/>
        </w:rPr>
        <w:t>Al invertir en este bono, apoyaremos financieramente los esfuerzos del BCIE para promover la salud de las personas a través del deporte.</w:t>
      </w:r>
    </w:p>
    <w:p w14:paraId="3CFBD26A" w14:textId="77777777" w:rsidR="0009254F" w:rsidRP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0A0107A5" w14:textId="77777777" w:rsidR="00994EBE" w:rsidRDefault="00994EBE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5EE7EF7E" w14:textId="77777777" w:rsidR="00994EBE" w:rsidRDefault="00994EBE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410594A4" w14:textId="77777777" w:rsidR="00994EBE" w:rsidRDefault="00994EBE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2343D2FE" w14:textId="77777777" w:rsidR="006561E4" w:rsidRDefault="006561E4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7968674B" w14:textId="77777777" w:rsidR="006561E4" w:rsidRDefault="006561E4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2573C8CE" w14:textId="7C022593" w:rsidR="0009254F" w:rsidRDefault="0009254F" w:rsidP="0009254F">
      <w:pPr>
        <w:jc w:val="both"/>
        <w:rPr>
          <w:rFonts w:ascii="Avenir Next" w:hAnsi="Avenir Next" w:cs="Arial"/>
          <w:b/>
          <w:sz w:val="22"/>
          <w:szCs w:val="22"/>
        </w:rPr>
      </w:pPr>
      <w:r w:rsidRPr="0009254F">
        <w:rPr>
          <w:rFonts w:ascii="Avenir Next" w:hAnsi="Avenir Next" w:cs="Arial"/>
          <w:b/>
          <w:sz w:val="22"/>
          <w:szCs w:val="22"/>
        </w:rPr>
        <w:t>Con base en nuestra filosofía gerencial de "Paz Mental confiable y para siempre", estamos promoviendo la creación de valor social a través de la inversión y el financiamiento ASG por medio de la resolución de problemas ambientales y sociales globales; y contribuciones regionales como la revitalización de las economías nacionales. Seguiremos contribuyendo a la realización de una sociedad sostenible como inversor institucional responsable.</w:t>
      </w:r>
    </w:p>
    <w:p w14:paraId="4A7377DB" w14:textId="77777777" w:rsidR="00F46A76" w:rsidRDefault="00F46A76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762CB912" w14:textId="79D6467C" w:rsidR="00F46A76" w:rsidRDefault="00505DC9" w:rsidP="0009254F">
      <w:pPr>
        <w:jc w:val="both"/>
        <w:rPr>
          <w:rFonts w:ascii="Avenir Next" w:hAnsi="Avenir Next" w:cs="Arial"/>
          <w:b/>
          <w:sz w:val="22"/>
          <w:szCs w:val="22"/>
        </w:rPr>
      </w:pPr>
      <w:r w:rsidRPr="00505DC9">
        <w:rPr>
          <w:rFonts w:ascii="Avenir Next" w:hAnsi="Avenir Next" w:cs="Arial"/>
          <w:b/>
          <w:sz w:val="22"/>
          <w:szCs w:val="22"/>
        </w:rPr>
        <w:t>Resumen de las condiciones financieras del Bono</w:t>
      </w:r>
      <w:r>
        <w:rPr>
          <w:rFonts w:ascii="Avenir Next" w:hAnsi="Avenir Next" w:cs="Arial"/>
          <w:b/>
          <w:sz w:val="22"/>
          <w:szCs w:val="22"/>
        </w:rPr>
        <w:t xml:space="preserve"> 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2376"/>
        <w:gridCol w:w="6124"/>
      </w:tblGrid>
      <w:tr w:rsidR="00F46A76" w:rsidRPr="002273C6" w14:paraId="5126E311" w14:textId="77777777" w:rsidTr="00DD666F">
        <w:tc>
          <w:tcPr>
            <w:tcW w:w="2376" w:type="dxa"/>
          </w:tcPr>
          <w:p w14:paraId="7F3CB02A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Emisor</w:t>
            </w:r>
          </w:p>
        </w:tc>
        <w:tc>
          <w:tcPr>
            <w:tcW w:w="6124" w:type="dxa"/>
          </w:tcPr>
          <w:p w14:paraId="563F3025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Gothic" w:hAnsi="Arial" w:cs="Arial"/>
                <w:spacing w:val="-4"/>
                <w:szCs w:val="21"/>
                <w:lang w:val="es-HN"/>
              </w:rPr>
              <w:t>Banco Centroamericano de Integración Económica</w:t>
            </w:r>
          </w:p>
        </w:tc>
      </w:tr>
      <w:tr w:rsidR="00F46A76" w:rsidRPr="00C7118F" w14:paraId="4BC14B51" w14:textId="77777777" w:rsidTr="00DD666F">
        <w:tc>
          <w:tcPr>
            <w:tcW w:w="2376" w:type="dxa"/>
          </w:tcPr>
          <w:p w14:paraId="5BE1E508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Inversor</w:t>
            </w:r>
          </w:p>
        </w:tc>
        <w:tc>
          <w:tcPr>
            <w:tcW w:w="6124" w:type="dxa"/>
          </w:tcPr>
          <w:p w14:paraId="041C464B" w14:textId="77777777" w:rsidR="00F46A76" w:rsidRPr="002273C6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</w:rPr>
            </w:pPr>
            <w:r w:rsidRPr="002273C6">
              <w:rPr>
                <w:rFonts w:ascii="Arial" w:hAnsi="Arial" w:cs="Arial"/>
              </w:rPr>
              <w:t xml:space="preserve">Meiji </w:t>
            </w:r>
            <w:proofErr w:type="spellStart"/>
            <w:r w:rsidRPr="002273C6">
              <w:rPr>
                <w:rFonts w:ascii="Arial" w:hAnsi="Arial" w:cs="Arial"/>
              </w:rPr>
              <w:t>Yasuda</w:t>
            </w:r>
            <w:proofErr w:type="spellEnd"/>
            <w:r w:rsidRPr="002273C6">
              <w:rPr>
                <w:rFonts w:ascii="Arial" w:hAnsi="Arial" w:cs="Arial"/>
              </w:rPr>
              <w:t xml:space="preserve"> </w:t>
            </w:r>
            <w:proofErr w:type="spellStart"/>
            <w:r w:rsidRPr="002273C6">
              <w:rPr>
                <w:rFonts w:ascii="Arial" w:hAnsi="Arial" w:cs="Arial"/>
              </w:rPr>
              <w:t>Life</w:t>
            </w:r>
            <w:proofErr w:type="spellEnd"/>
            <w:r w:rsidRPr="002273C6">
              <w:rPr>
                <w:rFonts w:ascii="Arial" w:hAnsi="Arial" w:cs="Arial"/>
              </w:rPr>
              <w:t xml:space="preserve"> </w:t>
            </w:r>
            <w:proofErr w:type="spellStart"/>
            <w:r w:rsidRPr="002273C6">
              <w:rPr>
                <w:rFonts w:ascii="Arial" w:hAnsi="Arial" w:cs="Arial"/>
              </w:rPr>
              <w:t>Insurance</w:t>
            </w:r>
            <w:proofErr w:type="spellEnd"/>
            <w:r w:rsidRPr="002273C6">
              <w:rPr>
                <w:rFonts w:ascii="Arial" w:hAnsi="Arial" w:cs="Arial"/>
              </w:rPr>
              <w:t xml:space="preserve"> Company</w:t>
            </w:r>
          </w:p>
        </w:tc>
      </w:tr>
      <w:tr w:rsidR="00F46A76" w:rsidRPr="00C7118F" w14:paraId="4B3A78B2" w14:textId="77777777" w:rsidTr="00DD666F">
        <w:tc>
          <w:tcPr>
            <w:tcW w:w="2376" w:type="dxa"/>
          </w:tcPr>
          <w:p w14:paraId="51733260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Moneda</w:t>
            </w:r>
          </w:p>
        </w:tc>
        <w:tc>
          <w:tcPr>
            <w:tcW w:w="6124" w:type="dxa"/>
          </w:tcPr>
          <w:p w14:paraId="4B605F72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Dólares Australianos</w:t>
            </w:r>
          </w:p>
        </w:tc>
      </w:tr>
      <w:tr w:rsidR="00F46A76" w:rsidRPr="00C7118F" w14:paraId="4ACA304F" w14:textId="77777777" w:rsidTr="00DD666F">
        <w:tc>
          <w:tcPr>
            <w:tcW w:w="2376" w:type="dxa"/>
          </w:tcPr>
          <w:p w14:paraId="1D352E2A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Monto Emitido</w:t>
            </w:r>
          </w:p>
        </w:tc>
        <w:tc>
          <w:tcPr>
            <w:tcW w:w="6124" w:type="dxa"/>
          </w:tcPr>
          <w:p w14:paraId="1C38D182" w14:textId="5B3A802D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 xml:space="preserve">100 millones de </w:t>
            </w:r>
            <w:r w:rsidR="00317226" w:rsidRPr="00C7118F">
              <w:rPr>
                <w:rFonts w:ascii="Arial" w:eastAsia="MS PGothic" w:hAnsi="Arial" w:cs="Arial"/>
                <w:szCs w:val="21"/>
                <w:lang w:val="es-HN"/>
              </w:rPr>
              <w:t>dólares australianos</w:t>
            </w:r>
            <w:r w:rsidRPr="00C7118F">
              <w:rPr>
                <w:rFonts w:ascii="Arial" w:eastAsia="MS PGothic" w:hAnsi="Arial" w:cs="Arial"/>
                <w:szCs w:val="21"/>
                <w:lang w:val="es-HN"/>
              </w:rPr>
              <w:t xml:space="preserve"> </w:t>
            </w:r>
          </w:p>
        </w:tc>
      </w:tr>
      <w:tr w:rsidR="00F46A76" w:rsidRPr="00C7118F" w14:paraId="021A8DE1" w14:textId="77777777" w:rsidTr="00DD666F">
        <w:tc>
          <w:tcPr>
            <w:tcW w:w="2376" w:type="dxa"/>
          </w:tcPr>
          <w:p w14:paraId="49AC167F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Fecha de Emisión</w:t>
            </w:r>
          </w:p>
        </w:tc>
        <w:tc>
          <w:tcPr>
            <w:tcW w:w="6124" w:type="dxa"/>
          </w:tcPr>
          <w:p w14:paraId="69E7F122" w14:textId="77777777" w:rsidR="00F46A76" w:rsidRPr="00C7118F" w:rsidDel="004B5F33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26 de mayo de 2023</w:t>
            </w:r>
          </w:p>
        </w:tc>
      </w:tr>
      <w:tr w:rsidR="00F46A76" w:rsidRPr="00C7118F" w14:paraId="3BE07E4E" w14:textId="77777777" w:rsidTr="00DD666F">
        <w:tc>
          <w:tcPr>
            <w:tcW w:w="2376" w:type="dxa"/>
          </w:tcPr>
          <w:p w14:paraId="4FC1B320" w14:textId="77777777" w:rsidR="00F46A76" w:rsidRPr="00C7118F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Fecha de Vencimiento</w:t>
            </w:r>
          </w:p>
        </w:tc>
        <w:tc>
          <w:tcPr>
            <w:tcW w:w="6124" w:type="dxa"/>
          </w:tcPr>
          <w:p w14:paraId="5501A9EB" w14:textId="77777777" w:rsidR="00F46A76" w:rsidRPr="00C7118F" w:rsidDel="004B5F33" w:rsidRDefault="00F46A76" w:rsidP="00DD666F">
            <w:pPr>
              <w:spacing w:line="340" w:lineRule="exact"/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26 de mayo de 2038</w:t>
            </w:r>
          </w:p>
        </w:tc>
      </w:tr>
      <w:tr w:rsidR="00F46A76" w:rsidRPr="002273C6" w14:paraId="73717D87" w14:textId="77777777" w:rsidTr="00DD666F">
        <w:trPr>
          <w:trHeight w:val="1140"/>
        </w:trPr>
        <w:tc>
          <w:tcPr>
            <w:tcW w:w="2376" w:type="dxa"/>
          </w:tcPr>
          <w:p w14:paraId="2E5A3953" w14:textId="77777777" w:rsidR="00F46A76" w:rsidRPr="00C7118F" w:rsidRDefault="00F46A76" w:rsidP="00DD666F">
            <w:pPr>
              <w:rPr>
                <w:rFonts w:ascii="Arial" w:eastAsia="MS PGothic" w:hAnsi="Arial" w:cs="Arial"/>
                <w:szCs w:val="21"/>
                <w:lang w:val="es-HN"/>
              </w:rPr>
            </w:pPr>
            <w:r w:rsidRPr="00C7118F">
              <w:rPr>
                <w:rFonts w:ascii="Arial" w:eastAsia="MS PGothic" w:hAnsi="Arial" w:cs="Arial"/>
                <w:szCs w:val="21"/>
                <w:lang w:val="es-HN"/>
              </w:rPr>
              <w:t>Objetivos alineados con los ODS</w:t>
            </w:r>
          </w:p>
        </w:tc>
        <w:tc>
          <w:tcPr>
            <w:tcW w:w="6124" w:type="dxa"/>
          </w:tcPr>
          <w:p w14:paraId="5655E776" w14:textId="77777777" w:rsidR="00F46A76" w:rsidRPr="00C7118F" w:rsidRDefault="00F46A76" w:rsidP="00DD666F">
            <w:pPr>
              <w:rPr>
                <w:rFonts w:ascii="Arial" w:eastAsia="MS PGothic" w:hAnsi="Arial" w:cs="Arial"/>
                <w:color w:val="0000FF"/>
                <w:szCs w:val="21"/>
                <w:lang w:val="es-HN"/>
              </w:rPr>
            </w:pPr>
            <w:r w:rsidRPr="00C7118F">
              <w:rPr>
                <w:noProof/>
                <w:lang w:val="es-HN"/>
              </w:rPr>
              <w:drawing>
                <wp:anchor distT="0" distB="0" distL="114300" distR="114300" simplePos="0" relativeHeight="251660288" behindDoc="1" locked="0" layoutInCell="1" allowOverlap="1" wp14:anchorId="63E99E8D" wp14:editId="14746077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85725</wp:posOffset>
                  </wp:positionV>
                  <wp:extent cx="899795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036" y="21140"/>
                      <wp:lineTo x="210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118F">
              <w:rPr>
                <w:noProof/>
                <w:lang w:val="es-HN"/>
              </w:rPr>
              <w:drawing>
                <wp:anchor distT="0" distB="0" distL="114300" distR="114300" simplePos="0" relativeHeight="251661312" behindDoc="1" locked="0" layoutInCell="1" allowOverlap="1" wp14:anchorId="4FA57585" wp14:editId="199A4350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85725</wp:posOffset>
                  </wp:positionV>
                  <wp:extent cx="904875" cy="899160"/>
                  <wp:effectExtent l="0" t="0" r="9525" b="0"/>
                  <wp:wrapTight wrapText="bothSides">
                    <wp:wrapPolygon edited="0">
                      <wp:start x="0" y="0"/>
                      <wp:lineTo x="0" y="21051"/>
                      <wp:lineTo x="21373" y="21051"/>
                      <wp:lineTo x="2137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118F">
              <w:rPr>
                <w:noProof/>
                <w:lang w:val="es-HN"/>
              </w:rPr>
              <w:t xml:space="preserve">  </w:t>
            </w:r>
            <w:r w:rsidRPr="00C7118F">
              <w:rPr>
                <w:noProof/>
                <w:lang w:val="es-HN"/>
              </w:rPr>
              <w:drawing>
                <wp:anchor distT="0" distB="0" distL="114300" distR="114300" simplePos="0" relativeHeight="251659264" behindDoc="1" locked="0" layoutInCell="1" allowOverlap="1" wp14:anchorId="4E151F4A" wp14:editId="1B5E41D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85725</wp:posOffset>
                  </wp:positionV>
                  <wp:extent cx="942975" cy="922020"/>
                  <wp:effectExtent l="0" t="0" r="9525" b="0"/>
                  <wp:wrapTight wrapText="bothSides">
                    <wp:wrapPolygon edited="0">
                      <wp:start x="0" y="0"/>
                      <wp:lineTo x="0" y="20975"/>
                      <wp:lineTo x="21382" y="20975"/>
                      <wp:lineTo x="2138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7118F">
              <w:rPr>
                <w:noProof/>
                <w:lang w:val="es-HN"/>
              </w:rPr>
              <w:t xml:space="preserve"> </w:t>
            </w:r>
          </w:p>
          <w:p w14:paraId="389D908E" w14:textId="77777777" w:rsidR="00F46A76" w:rsidRPr="00C7118F" w:rsidRDefault="00F46A76" w:rsidP="00DD666F">
            <w:pPr>
              <w:rPr>
                <w:rFonts w:ascii="Arial" w:eastAsia="MS PGothic" w:hAnsi="Arial" w:cs="Arial"/>
                <w:color w:val="0000FF"/>
                <w:szCs w:val="21"/>
                <w:lang w:val="es-HN"/>
              </w:rPr>
            </w:pPr>
          </w:p>
          <w:p w14:paraId="0FBF66A3" w14:textId="77777777" w:rsidR="00F46A76" w:rsidRPr="00C7118F" w:rsidRDefault="00F46A76" w:rsidP="00DD666F">
            <w:pPr>
              <w:rPr>
                <w:rFonts w:ascii="Arial" w:eastAsia="MS PGothic" w:hAnsi="Arial" w:cs="Arial"/>
                <w:color w:val="0000FF"/>
                <w:szCs w:val="21"/>
                <w:lang w:val="es-HN"/>
              </w:rPr>
            </w:pPr>
          </w:p>
          <w:p w14:paraId="3CD146E5" w14:textId="77777777" w:rsidR="00F46A76" w:rsidRPr="00C7118F" w:rsidRDefault="00F46A76" w:rsidP="00DD666F">
            <w:pPr>
              <w:rPr>
                <w:rFonts w:ascii="Arial" w:eastAsia="MS PGothic" w:hAnsi="Arial" w:cs="Arial"/>
                <w:color w:val="0000FF"/>
                <w:szCs w:val="21"/>
                <w:lang w:val="es-HN"/>
              </w:rPr>
            </w:pPr>
          </w:p>
          <w:p w14:paraId="43998433" w14:textId="77777777" w:rsidR="00F46A76" w:rsidRPr="00C7118F" w:rsidRDefault="00F46A76" w:rsidP="00DD666F">
            <w:pPr>
              <w:rPr>
                <w:rFonts w:ascii="Arial" w:eastAsia="MS PGothic" w:hAnsi="Arial" w:cs="Arial"/>
                <w:color w:val="0000FF"/>
                <w:szCs w:val="21"/>
                <w:lang w:val="es-HN"/>
              </w:rPr>
            </w:pPr>
          </w:p>
        </w:tc>
      </w:tr>
    </w:tbl>
    <w:p w14:paraId="14E2050D" w14:textId="77777777" w:rsidR="00F46A76" w:rsidRDefault="00F46A76" w:rsidP="0009254F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21538CC2" w14:textId="3A6FF856" w:rsidR="00E825C1" w:rsidRPr="00E825C1" w:rsidRDefault="00E825C1" w:rsidP="00E825C1">
      <w:pPr>
        <w:jc w:val="both"/>
        <w:rPr>
          <w:rFonts w:ascii="Avenir Next" w:hAnsi="Avenir Next" w:cs="Arial"/>
          <w:b/>
          <w:sz w:val="22"/>
          <w:szCs w:val="22"/>
        </w:rPr>
      </w:pPr>
      <w:r w:rsidRPr="00E825C1">
        <w:rPr>
          <w:rFonts w:ascii="Avenir Next" w:hAnsi="Avenir Next" w:cs="Arial"/>
          <w:b/>
          <w:sz w:val="22"/>
          <w:szCs w:val="22"/>
        </w:rPr>
        <w:t>Ejemplos de proyectos del BCIE</w:t>
      </w:r>
    </w:p>
    <w:p w14:paraId="1D4BAB8C" w14:textId="77777777" w:rsidR="00E825C1" w:rsidRPr="00E825C1" w:rsidRDefault="00E825C1" w:rsidP="00E825C1">
      <w:pPr>
        <w:jc w:val="both"/>
        <w:rPr>
          <w:rFonts w:ascii="Avenir Next" w:hAnsi="Avenir Next" w:cs="Arial"/>
          <w:b/>
          <w:sz w:val="22"/>
          <w:szCs w:val="22"/>
        </w:rPr>
      </w:pPr>
      <w:r w:rsidRPr="00E825C1">
        <w:rPr>
          <w:rFonts w:ascii="Avenir Next" w:hAnsi="Avenir Next" w:cs="Arial"/>
          <w:b/>
          <w:sz w:val="22"/>
          <w:szCs w:val="22"/>
        </w:rPr>
        <w:t>Proyecto de mejora de instalaciones deportivas en El Salvador:</w:t>
      </w:r>
    </w:p>
    <w:p w14:paraId="7B00CEC1" w14:textId="77777777" w:rsidR="00E825C1" w:rsidRPr="00E825C1" w:rsidRDefault="00E825C1" w:rsidP="00E825C1">
      <w:pPr>
        <w:jc w:val="both"/>
        <w:rPr>
          <w:rFonts w:ascii="Avenir Next" w:hAnsi="Avenir Next" w:cs="Arial"/>
          <w:b/>
          <w:sz w:val="22"/>
          <w:szCs w:val="22"/>
        </w:rPr>
      </w:pPr>
      <w:r w:rsidRPr="00E825C1">
        <w:rPr>
          <w:rFonts w:ascii="Avenir Next" w:hAnsi="Avenir Next" w:cs="Arial"/>
          <w:b/>
          <w:sz w:val="22"/>
          <w:szCs w:val="22"/>
        </w:rPr>
        <w:t>Los recursos se destinarán a la remodelación, construcción, rehabilitación y equipamiento de recintos deportivos, apoyando y estimulando la práctica individual y colectiva del deporte para la prevención de la violencia, el aumento de la salud, la profesionalización de los deportistas y la recreación de los habitantes de las áreas beneficiadas.</w:t>
      </w:r>
    </w:p>
    <w:p w14:paraId="6908CB74" w14:textId="77777777" w:rsidR="00E825C1" w:rsidRPr="00E825C1" w:rsidRDefault="00E825C1" w:rsidP="00E825C1">
      <w:pPr>
        <w:jc w:val="both"/>
        <w:rPr>
          <w:rFonts w:ascii="Avenir Next" w:hAnsi="Avenir Next" w:cs="Arial"/>
          <w:b/>
          <w:sz w:val="22"/>
          <w:szCs w:val="22"/>
        </w:rPr>
      </w:pPr>
    </w:p>
    <w:p w14:paraId="11721F66" w14:textId="77777777" w:rsidR="00E825C1" w:rsidRPr="00E825C1" w:rsidRDefault="00E825C1" w:rsidP="00E825C1">
      <w:pPr>
        <w:jc w:val="both"/>
        <w:rPr>
          <w:rFonts w:ascii="Avenir Next" w:hAnsi="Avenir Next" w:cs="Arial"/>
          <w:b/>
          <w:sz w:val="22"/>
          <w:szCs w:val="22"/>
        </w:rPr>
      </w:pPr>
      <w:r w:rsidRPr="00E825C1">
        <w:rPr>
          <w:rFonts w:ascii="Avenir Next" w:hAnsi="Avenir Next" w:cs="Arial"/>
          <w:b/>
          <w:sz w:val="22"/>
          <w:szCs w:val="22"/>
        </w:rPr>
        <w:t>Proyecto de Renovación del Parque de Pelota Saturnino Bengoa:</w:t>
      </w:r>
    </w:p>
    <w:p w14:paraId="3AC67DEE" w14:textId="3396EE1C" w:rsidR="00505DC9" w:rsidRPr="0009254F" w:rsidRDefault="00E825C1" w:rsidP="00E825C1">
      <w:pPr>
        <w:jc w:val="both"/>
        <w:rPr>
          <w:rFonts w:ascii="Avenir Next" w:hAnsi="Avenir Next" w:cs="Arial"/>
          <w:b/>
          <w:sz w:val="22"/>
          <w:szCs w:val="22"/>
        </w:rPr>
      </w:pPr>
      <w:r w:rsidRPr="00E825C1">
        <w:rPr>
          <w:rFonts w:ascii="Avenir Next" w:hAnsi="Avenir Next" w:cs="Arial"/>
          <w:b/>
          <w:sz w:val="22"/>
          <w:szCs w:val="22"/>
        </w:rPr>
        <w:t xml:space="preserve">Como parte de este proyecto, el Parque de Pelota Saturnino Bengoa, sede de los Juegos Centroamericanos y del Caribe San Salvador 2023, torneo regional multideportivo a realizarse en El Salvador del 23 de junio al 8 de julio de 2023. La remodelación del parque de pelota Saturnino Bengoa está en marcha. </w:t>
      </w:r>
    </w:p>
    <w:p w14:paraId="14B505A9" w14:textId="77777777" w:rsidR="005535C1" w:rsidRDefault="005535C1" w:rsidP="0055472B">
      <w:pPr>
        <w:jc w:val="both"/>
        <w:rPr>
          <w:rFonts w:ascii="Avenir Next" w:hAnsi="Avenir Next" w:cs="Arial"/>
          <w:b/>
          <w:i/>
          <w:iCs/>
          <w:color w:val="7F7F7F"/>
          <w:sz w:val="20"/>
          <w:lang w:val="es-HN"/>
        </w:rPr>
      </w:pPr>
    </w:p>
    <w:p w14:paraId="18A1192E" w14:textId="0D84D909" w:rsidR="0055472B" w:rsidRPr="0055472B" w:rsidRDefault="0055472B" w:rsidP="0055472B">
      <w:pPr>
        <w:jc w:val="both"/>
        <w:rPr>
          <w:rFonts w:ascii="Avenir Next" w:hAnsi="Avenir Next" w:cs="Arial"/>
          <w:b/>
          <w:sz w:val="20"/>
          <w:lang w:val="es-NI"/>
        </w:rPr>
      </w:pPr>
      <w:r w:rsidRPr="0055472B">
        <w:rPr>
          <w:rFonts w:ascii="Avenir Next" w:hAnsi="Avenir Next" w:cs="Arial"/>
          <w:b/>
          <w:i/>
          <w:iCs/>
          <w:color w:val="7F7F7F"/>
          <w:sz w:val="20"/>
          <w:lang w:val="es-HN"/>
        </w:rPr>
        <w:t>Acerca del BCIE</w:t>
      </w:r>
    </w:p>
    <w:p w14:paraId="774FB5E0" w14:textId="77777777" w:rsidR="0055472B" w:rsidRPr="0055472B" w:rsidRDefault="0055472B" w:rsidP="0055472B">
      <w:pPr>
        <w:jc w:val="both"/>
        <w:rPr>
          <w:rFonts w:ascii="Avenir Next" w:hAnsi="Avenir Next" w:cs="Arial"/>
          <w:i/>
          <w:iCs/>
          <w:color w:val="7F7F7F"/>
          <w:sz w:val="20"/>
          <w:lang w:val="es-HN"/>
        </w:rPr>
      </w:pPr>
    </w:p>
    <w:p w14:paraId="1BDED368" w14:textId="77777777" w:rsidR="00B73F94" w:rsidRDefault="00B80079" w:rsidP="00B80079">
      <w:pPr>
        <w:jc w:val="both"/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</w:pPr>
      <w:r w:rsidRPr="00A45052"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  <w:t xml:space="preserve">El BCIE fue creado en 1960 como el brazo financiero de la integración y el desarrollo de la región. Sus recursos se invierten continuamente en proyectos con impacto en el desarrollo para reducir la pobreza y las </w:t>
      </w:r>
    </w:p>
    <w:p w14:paraId="7A8307E6" w14:textId="77777777" w:rsidR="00B73F94" w:rsidRDefault="00B73F94" w:rsidP="00B80079">
      <w:pPr>
        <w:jc w:val="both"/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</w:pPr>
    </w:p>
    <w:p w14:paraId="2EBB8B9A" w14:textId="77777777" w:rsidR="00B73F94" w:rsidRDefault="00B73F94" w:rsidP="00B80079">
      <w:pPr>
        <w:jc w:val="both"/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</w:pPr>
    </w:p>
    <w:p w14:paraId="268D607B" w14:textId="77777777" w:rsidR="00B73F94" w:rsidRDefault="00B73F94" w:rsidP="00B80079">
      <w:pPr>
        <w:jc w:val="both"/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</w:pPr>
    </w:p>
    <w:p w14:paraId="5BC1545F" w14:textId="77777777" w:rsidR="00B73F94" w:rsidRDefault="00B73F94" w:rsidP="00B80079">
      <w:pPr>
        <w:jc w:val="both"/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</w:pPr>
    </w:p>
    <w:p w14:paraId="6E4B9A9A" w14:textId="77777777" w:rsidR="00B73F94" w:rsidRDefault="00B73F94" w:rsidP="00B80079">
      <w:pPr>
        <w:jc w:val="both"/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</w:pPr>
    </w:p>
    <w:p w14:paraId="5143FF34" w14:textId="22CEB03B" w:rsidR="00B80079" w:rsidRPr="00A45052" w:rsidRDefault="00B80079" w:rsidP="00B80079">
      <w:pPr>
        <w:jc w:val="both"/>
        <w:rPr>
          <w:rFonts w:ascii="Avenir Next" w:eastAsia="Calibri" w:hAnsi="Avenir Next" w:cs="Calibri"/>
          <w:sz w:val="18"/>
          <w:szCs w:val="18"/>
          <w:lang w:val="es-HN"/>
        </w:rPr>
      </w:pPr>
      <w:r w:rsidRPr="00A45052">
        <w:rPr>
          <w:rFonts w:ascii="Avenir Next" w:eastAsia="Calibri" w:hAnsi="Avenir Next" w:cs="Calibri"/>
          <w:i/>
          <w:iCs/>
          <w:color w:val="7F7F7F" w:themeColor="background1" w:themeShade="7F"/>
          <w:sz w:val="18"/>
          <w:szCs w:val="18"/>
          <w:lang w:val="es-HN"/>
        </w:rPr>
        <w:t>desigualdades, fortalecer la integración regional y la inserción competitiva de los socios en la economía mundial, otorgando especial atención a la sostenibilidad del medio ambiente. El BCIE tiene su sede en Tegucigalpa con oficinas en toda Centroamérica.</w:t>
      </w:r>
    </w:p>
    <w:p w14:paraId="4078624D" w14:textId="77777777" w:rsidR="00B73F94" w:rsidRDefault="00B73F94" w:rsidP="00B80079">
      <w:pPr>
        <w:jc w:val="both"/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</w:pPr>
    </w:p>
    <w:p w14:paraId="474A2437" w14:textId="34CD3BB5" w:rsidR="00B80079" w:rsidRPr="00A45052" w:rsidRDefault="00B80079" w:rsidP="00B80079">
      <w:pPr>
        <w:jc w:val="both"/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</w:pPr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 xml:space="preserve">La solidez financiera del BCIE como el mejor crédito de América Latina se respalda en su alta calificación crediticia otorgadas por las distintas agencias internacionales: </w:t>
      </w:r>
      <w:bookmarkStart w:id="0" w:name="_Hlk120888149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 xml:space="preserve">Standard &amp; </w:t>
      </w:r>
      <w:proofErr w:type="spellStart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>Poor’s</w:t>
      </w:r>
      <w:proofErr w:type="spellEnd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 xml:space="preserve"> con una calificación de AA, Moody’s con una calificación de Aa3, y </w:t>
      </w:r>
      <w:proofErr w:type="spellStart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>Japan</w:t>
      </w:r>
      <w:proofErr w:type="spellEnd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 xml:space="preserve"> </w:t>
      </w:r>
      <w:proofErr w:type="spellStart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>Credit</w:t>
      </w:r>
      <w:proofErr w:type="spellEnd"/>
      <w:r w:rsidRPr="00A45052">
        <w:rPr>
          <w:rFonts w:ascii="Avenir Next" w:hAnsi="Avenir Next" w:cstheme="minorHAnsi"/>
          <w:i/>
          <w:iCs/>
          <w:color w:val="7F7F7F"/>
          <w:sz w:val="18"/>
          <w:szCs w:val="18"/>
          <w:lang w:val="es-HN"/>
        </w:rPr>
        <w:t xml:space="preserve"> Rating con AA. </w:t>
      </w:r>
      <w:bookmarkEnd w:id="0"/>
    </w:p>
    <w:p w14:paraId="327D6D9F" w14:textId="77777777" w:rsidR="0055472B" w:rsidRPr="0055472B" w:rsidRDefault="0055472B" w:rsidP="0055472B">
      <w:pPr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</w:pPr>
    </w:p>
    <w:p w14:paraId="10E33BBD" w14:textId="77777777" w:rsidR="0055472B" w:rsidRPr="0055472B" w:rsidRDefault="0055472B" w:rsidP="0055472B">
      <w:pPr>
        <w:rPr>
          <w:rFonts w:ascii="Avenir Next" w:hAnsi="Avenir Next" w:cstheme="minorHAnsi"/>
          <w:b/>
          <w:i/>
          <w:iCs/>
          <w:color w:val="7F7F7F"/>
          <w:sz w:val="20"/>
          <w:szCs w:val="18"/>
          <w:lang w:val="es-HN"/>
        </w:rPr>
      </w:pPr>
      <w:r w:rsidRPr="0055472B">
        <w:rPr>
          <w:rFonts w:ascii="Avenir Next" w:hAnsi="Avenir Next" w:cstheme="minorHAnsi"/>
          <w:b/>
          <w:i/>
          <w:iCs/>
          <w:color w:val="7F7F7F"/>
          <w:sz w:val="20"/>
          <w:szCs w:val="18"/>
          <w:lang w:val="es-HN"/>
        </w:rPr>
        <w:t>Síguenos en nuestras redes sociales</w:t>
      </w:r>
    </w:p>
    <w:p w14:paraId="7877865E" w14:textId="77777777" w:rsidR="0055472B" w:rsidRPr="0055472B" w:rsidRDefault="0055472B" w:rsidP="0055472B">
      <w:pPr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</w:pPr>
    </w:p>
    <w:p w14:paraId="6B15BB37" w14:textId="0344EB17" w:rsidR="009570A5" w:rsidRDefault="0055472B" w:rsidP="008B19A9">
      <w:pPr>
        <w:rPr>
          <w:rFonts w:ascii="Avenir Next" w:hAnsi="Avenir Next" w:cstheme="minorHAnsi"/>
          <w:i/>
          <w:iCs/>
          <w:color w:val="7F7F7F"/>
          <w:sz w:val="20"/>
          <w:szCs w:val="18"/>
          <w:lang w:val="en-US"/>
        </w:rPr>
      </w:pPr>
      <w:r w:rsidRPr="009570A5">
        <w:rPr>
          <w:rFonts w:ascii="Avenir Next" w:hAnsi="Avenir Next" w:cstheme="minorHAnsi"/>
          <w:i/>
          <w:iCs/>
          <w:color w:val="7F7F7F"/>
          <w:sz w:val="20"/>
          <w:szCs w:val="18"/>
          <w:lang w:val="en-US"/>
        </w:rPr>
        <w:t xml:space="preserve">Twitter: BCIE_ORG / Facebook: BCIE.org / Instagram: </w:t>
      </w:r>
      <w:proofErr w:type="spellStart"/>
      <w:r w:rsidRPr="009570A5">
        <w:rPr>
          <w:rFonts w:ascii="Avenir Next" w:hAnsi="Avenir Next" w:cstheme="minorHAnsi"/>
          <w:i/>
          <w:iCs/>
          <w:color w:val="7F7F7F"/>
          <w:sz w:val="20"/>
          <w:szCs w:val="18"/>
          <w:lang w:val="en-US"/>
        </w:rPr>
        <w:t>BCIE_org</w:t>
      </w:r>
      <w:proofErr w:type="spellEnd"/>
      <w:r w:rsidRPr="009570A5">
        <w:rPr>
          <w:rFonts w:ascii="Avenir Next" w:hAnsi="Avenir Next" w:cstheme="minorHAnsi"/>
          <w:i/>
          <w:iCs/>
          <w:color w:val="7F7F7F"/>
          <w:sz w:val="20"/>
          <w:szCs w:val="18"/>
          <w:lang w:val="en-US"/>
        </w:rPr>
        <w:t xml:space="preserve"> / LinkedIn: BCIE</w:t>
      </w:r>
    </w:p>
    <w:p w14:paraId="2BE42567" w14:textId="77777777" w:rsidR="00B73F94" w:rsidRDefault="00B73F94" w:rsidP="008B19A9">
      <w:pPr>
        <w:rPr>
          <w:rFonts w:ascii="Avenir Next" w:hAnsi="Avenir Next" w:cstheme="minorHAnsi"/>
          <w:i/>
          <w:iCs/>
          <w:color w:val="7F7F7F"/>
          <w:sz w:val="20"/>
          <w:szCs w:val="18"/>
          <w:lang w:val="en-US"/>
        </w:rPr>
      </w:pPr>
    </w:p>
    <w:p w14:paraId="28F01F8E" w14:textId="77777777" w:rsidR="00B73F94" w:rsidRPr="00B73F94" w:rsidRDefault="00B73F94" w:rsidP="00B73F94">
      <w:pPr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</w:pPr>
      <w:r w:rsidRPr="00B73F94"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  <w:t>Acerca de Barclays</w:t>
      </w:r>
    </w:p>
    <w:p w14:paraId="58616500" w14:textId="1EF7567E" w:rsidR="00B73F94" w:rsidRPr="008B19A9" w:rsidRDefault="00B73F94" w:rsidP="00B73F94">
      <w:pPr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</w:pPr>
      <w:r w:rsidRPr="00B73F94"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  <w:t xml:space="preserve">Barclays es un banco global británico. Estamos diversificados por negocios, tipos de cliente y ubicación geográfica. Nuestros negocios incluyen banca de consumo y pagos alrededor del mundo, así mismo somos un banco global de inversión y corporativo de primer nivel, negocios que están respaldados por nuestra compañía de servicios que brinda tecnología, operaciones y soluciones funcionales a través de todo el Grupo. Para obtener más información sobre Barclays, visite nuestro sitio web </w:t>
      </w:r>
      <w:proofErr w:type="spellStart"/>
      <w:proofErr w:type="gramStart"/>
      <w:r w:rsidRPr="00B73F94"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  <w:t>home.barclays</w:t>
      </w:r>
      <w:proofErr w:type="spellEnd"/>
      <w:proofErr w:type="gramEnd"/>
      <w:r w:rsidRPr="00B73F94">
        <w:rPr>
          <w:rFonts w:ascii="Avenir Next" w:hAnsi="Avenir Next" w:cstheme="minorHAnsi"/>
          <w:i/>
          <w:iCs/>
          <w:color w:val="7F7F7F"/>
          <w:sz w:val="20"/>
          <w:szCs w:val="18"/>
          <w:lang w:val="es-HN"/>
        </w:rPr>
        <w:t>.</w:t>
      </w:r>
    </w:p>
    <w:sectPr w:rsidR="00B73F94" w:rsidRPr="008B19A9" w:rsidSect="00D44C95">
      <w:headerReference w:type="default" r:id="rId14"/>
      <w:footerReference w:type="default" r:id="rId15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B0051" w14:textId="77777777" w:rsidR="00B72542" w:rsidRDefault="00B72542" w:rsidP="001B387C">
      <w:r>
        <w:separator/>
      </w:r>
    </w:p>
  </w:endnote>
  <w:endnote w:type="continuationSeparator" w:id="0">
    <w:p w14:paraId="5363D8B2" w14:textId="77777777" w:rsidR="00B72542" w:rsidRDefault="00B72542" w:rsidP="001B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venir Next"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BD05" w14:textId="3AD37E1C" w:rsidR="001B387C" w:rsidRDefault="001B35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036F612" wp14:editId="0A53AEC1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11" name="MSIPCMe9f34d488c522d11a0d82cab" descr="{&quot;HashCode&quot;:1683576279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9690B2" w14:textId="6D5DAC5C" w:rsidR="001B3593" w:rsidRPr="001B3593" w:rsidRDefault="001B3593" w:rsidP="001B3593">
                          <w:pPr>
                            <w:jc w:val="center"/>
                            <w:rPr>
                              <w:rFonts w:ascii="Arial" w:hAnsi="Arial" w:cs="Arial"/>
                              <w:color w:val="317100"/>
                              <w:sz w:val="20"/>
                            </w:rPr>
                          </w:pPr>
                          <w:r w:rsidRPr="001B3593">
                            <w:rPr>
                              <w:rFonts w:ascii="Arial" w:hAnsi="Arial" w:cs="Arial"/>
                              <w:color w:val="317100"/>
                              <w:sz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6F612" id="_x0000_t202" coordsize="21600,21600" o:spt="202" path="m,l,21600r21600,l21600,xe">
              <v:stroke joinstyle="miter"/>
              <v:path gradientshapeok="t" o:connecttype="rect"/>
            </v:shapetype>
            <v:shape id="MSIPCMe9f34d488c522d11a0d82cab" o:spid="_x0000_s1026" type="#_x0000_t202" alt="{&quot;HashCode&quot;:1683576279,&quot;Height&quot;:792.0,&quot;Width&quot;:612.0,&quot;Placement&quot;:&quot;Footer&quot;,&quot;Index&quot;:&quot;Primary&quot;,&quot;Section&quot;:1,&quot;Top&quot;:0.0,&quot;Left&quot;:0.0}" style="position:absolute;margin-left:0;margin-top:757.1pt;width:612pt;height:19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" o:allowincell="f" filled="f" stroked="f" strokeweight=".5pt">
              <v:textbox inset=",0,,0">
                <w:txbxContent>
                  <w:p w14:paraId="559690B2" w14:textId="6D5DAC5C" w:rsidR="001B3593" w:rsidRPr="001B3593" w:rsidRDefault="001B3593" w:rsidP="001B3593">
                    <w:pPr>
                      <w:jc w:val="center"/>
                      <w:rPr>
                        <w:rFonts w:ascii="Arial" w:hAnsi="Arial" w:cs="Arial"/>
                        <w:color w:val="317100"/>
                        <w:sz w:val="20"/>
                      </w:rPr>
                    </w:pPr>
                    <w:r w:rsidRPr="001B3593">
                      <w:rPr>
                        <w:rFonts w:ascii="Arial" w:hAnsi="Arial" w:cs="Arial"/>
                        <w:color w:val="317100"/>
                        <w:sz w:val="20"/>
                      </w:rPr>
                      <w:t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385E" w:rsidRPr="00C9385E">
      <w:rPr>
        <w:noProof/>
      </w:rPr>
      <w:drawing>
        <wp:anchor distT="0" distB="0" distL="114300" distR="114300" simplePos="0" relativeHeight="251654144" behindDoc="1" locked="0" layoutInCell="1" allowOverlap="1" wp14:anchorId="78A8EE1C" wp14:editId="5E99D90D">
          <wp:simplePos x="0" y="0"/>
          <wp:positionH relativeFrom="column">
            <wp:posOffset>5089525</wp:posOffset>
          </wp:positionH>
          <wp:positionV relativeFrom="paragraph">
            <wp:posOffset>-142240</wp:posOffset>
          </wp:positionV>
          <wp:extent cx="590550" cy="504825"/>
          <wp:effectExtent l="0" t="0" r="6350" b="0"/>
          <wp:wrapNone/>
          <wp:docPr id="65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screenshot of a cell phon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26"/>
                  <a:stretch/>
                </pic:blipFill>
                <pic:spPr bwMode="auto">
                  <a:xfrm>
                    <a:off x="0" y="0"/>
                    <a:ext cx="59055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87C" w:rsidRPr="001B387C">
      <w:rPr>
        <w:noProof/>
      </w:rPr>
      <w:drawing>
        <wp:inline distT="0" distB="0" distL="0" distR="0" wp14:anchorId="7C9D07A8" wp14:editId="4F28C29B">
          <wp:extent cx="3492500" cy="215900"/>
          <wp:effectExtent l="0" t="0" r="0" b="0"/>
          <wp:docPr id="6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92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385E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E853E" w14:textId="77777777" w:rsidR="00B72542" w:rsidRDefault="00B72542" w:rsidP="001B387C">
      <w:r>
        <w:separator/>
      </w:r>
    </w:p>
  </w:footnote>
  <w:footnote w:type="continuationSeparator" w:id="0">
    <w:p w14:paraId="280B786E" w14:textId="77777777" w:rsidR="00B72542" w:rsidRDefault="00B72542" w:rsidP="001B3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589A6" w14:textId="5FC7A3DE" w:rsidR="001B387C" w:rsidRDefault="00287C4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C773E4C" wp14:editId="0C0862C3">
          <wp:simplePos x="0" y="0"/>
          <wp:positionH relativeFrom="column">
            <wp:posOffset>4940300</wp:posOffset>
          </wp:positionH>
          <wp:positionV relativeFrom="paragraph">
            <wp:posOffset>-894347</wp:posOffset>
          </wp:positionV>
          <wp:extent cx="1740568" cy="1740568"/>
          <wp:effectExtent l="0" t="0" r="0" b="0"/>
          <wp:wrapNone/>
          <wp:docPr id="61" name="Imagen 5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0568" cy="1740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814">
      <w:rPr>
        <w:noProof/>
      </w:rPr>
      <w:drawing>
        <wp:anchor distT="0" distB="0" distL="114300" distR="114300" simplePos="0" relativeHeight="251660288" behindDoc="0" locked="0" layoutInCell="1" allowOverlap="1" wp14:anchorId="71987662" wp14:editId="440A8A30">
          <wp:simplePos x="0" y="0"/>
          <wp:positionH relativeFrom="margin">
            <wp:posOffset>-599440</wp:posOffset>
          </wp:positionH>
          <wp:positionV relativeFrom="margin">
            <wp:posOffset>-892175</wp:posOffset>
          </wp:positionV>
          <wp:extent cx="1884045" cy="1290955"/>
          <wp:effectExtent l="0" t="0" r="0" b="4445"/>
          <wp:wrapThrough wrapText="bothSides">
            <wp:wrapPolygon edited="0">
              <wp:start x="0" y="0"/>
              <wp:lineTo x="0" y="21462"/>
              <wp:lineTo x="21403" y="21462"/>
              <wp:lineTo x="21403" y="0"/>
              <wp:lineTo x="0" y="0"/>
            </wp:wrapPolygon>
          </wp:wrapThrough>
          <wp:docPr id="62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2" r="11125" b="7070"/>
                  <a:stretch/>
                </pic:blipFill>
                <pic:spPr bwMode="auto">
                  <a:xfrm>
                    <a:off x="0" y="0"/>
                    <a:ext cx="1884045" cy="1290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406" w:rsidRPr="00834406">
      <w:rPr>
        <w:noProof/>
      </w:rPr>
      <w:drawing>
        <wp:anchor distT="0" distB="0" distL="114300" distR="114300" simplePos="0" relativeHeight="251658240" behindDoc="0" locked="0" layoutInCell="1" allowOverlap="1" wp14:anchorId="355D5933" wp14:editId="05BE8D66">
          <wp:simplePos x="0" y="0"/>
          <wp:positionH relativeFrom="column">
            <wp:posOffset>-1067435</wp:posOffset>
          </wp:positionH>
          <wp:positionV relativeFrom="paragraph">
            <wp:posOffset>972820</wp:posOffset>
          </wp:positionV>
          <wp:extent cx="3390900" cy="228600"/>
          <wp:effectExtent l="0" t="0" r="0" b="0"/>
          <wp:wrapNone/>
          <wp:docPr id="6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926"/>
                  <a:stretch/>
                </pic:blipFill>
                <pic:spPr bwMode="auto">
                  <a:xfrm>
                    <a:off x="0" y="0"/>
                    <a:ext cx="3390900" cy="228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E66F8"/>
    <w:multiLevelType w:val="hybridMultilevel"/>
    <w:tmpl w:val="E3408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26B77"/>
    <w:multiLevelType w:val="hybridMultilevel"/>
    <w:tmpl w:val="22AC6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87FD7"/>
    <w:multiLevelType w:val="hybridMultilevel"/>
    <w:tmpl w:val="45F65E5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053226">
    <w:abstractNumId w:val="2"/>
  </w:num>
  <w:num w:numId="2" w16cid:durableId="14093801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88906901">
    <w:abstractNumId w:val="0"/>
  </w:num>
  <w:num w:numId="4" w16cid:durableId="122164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removePersonalInformation/>
  <w:removeDateAndTime/>
  <w:activeWritingStyle w:appName="MSWord" w:lang="en-US" w:vendorID="64" w:dllVersion="0" w:nlCheck="1" w:checkStyle="0"/>
  <w:activeWritingStyle w:appName="MSWord" w:lang="es-HN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7C"/>
    <w:rsid w:val="00000550"/>
    <w:rsid w:val="00001F86"/>
    <w:rsid w:val="0004188D"/>
    <w:rsid w:val="00072F87"/>
    <w:rsid w:val="0008748A"/>
    <w:rsid w:val="000904A6"/>
    <w:rsid w:val="0009254F"/>
    <w:rsid w:val="000A00E4"/>
    <w:rsid w:val="000A0638"/>
    <w:rsid w:val="0011343D"/>
    <w:rsid w:val="00136B89"/>
    <w:rsid w:val="001408F8"/>
    <w:rsid w:val="00144C50"/>
    <w:rsid w:val="00157457"/>
    <w:rsid w:val="00163A2B"/>
    <w:rsid w:val="00164DEF"/>
    <w:rsid w:val="00173E43"/>
    <w:rsid w:val="00176ED8"/>
    <w:rsid w:val="00181F85"/>
    <w:rsid w:val="00193152"/>
    <w:rsid w:val="001A1862"/>
    <w:rsid w:val="001B1433"/>
    <w:rsid w:val="001B283B"/>
    <w:rsid w:val="001B3593"/>
    <w:rsid w:val="001B387C"/>
    <w:rsid w:val="001D4EA8"/>
    <w:rsid w:val="001D7D13"/>
    <w:rsid w:val="002045DB"/>
    <w:rsid w:val="00233B6D"/>
    <w:rsid w:val="00235A4E"/>
    <w:rsid w:val="0026515B"/>
    <w:rsid w:val="00270B44"/>
    <w:rsid w:val="00284F09"/>
    <w:rsid w:val="0028628D"/>
    <w:rsid w:val="00287C43"/>
    <w:rsid w:val="002B77F0"/>
    <w:rsid w:val="002C02A1"/>
    <w:rsid w:val="002C2A1B"/>
    <w:rsid w:val="002D233D"/>
    <w:rsid w:val="002D2C46"/>
    <w:rsid w:val="002D381D"/>
    <w:rsid w:val="002F6C53"/>
    <w:rsid w:val="002F7D6C"/>
    <w:rsid w:val="0030444B"/>
    <w:rsid w:val="003051B5"/>
    <w:rsid w:val="00311614"/>
    <w:rsid w:val="00317226"/>
    <w:rsid w:val="00321758"/>
    <w:rsid w:val="00327814"/>
    <w:rsid w:val="00327EC4"/>
    <w:rsid w:val="003304FB"/>
    <w:rsid w:val="00335394"/>
    <w:rsid w:val="003355B7"/>
    <w:rsid w:val="003359B1"/>
    <w:rsid w:val="00344E21"/>
    <w:rsid w:val="003519A6"/>
    <w:rsid w:val="0035674E"/>
    <w:rsid w:val="00381169"/>
    <w:rsid w:val="003B09CB"/>
    <w:rsid w:val="003C7A52"/>
    <w:rsid w:val="003E1E48"/>
    <w:rsid w:val="003E3E0C"/>
    <w:rsid w:val="003E6E33"/>
    <w:rsid w:val="004005A7"/>
    <w:rsid w:val="00403AD3"/>
    <w:rsid w:val="0041517C"/>
    <w:rsid w:val="004158B3"/>
    <w:rsid w:val="004159EA"/>
    <w:rsid w:val="00422864"/>
    <w:rsid w:val="004645BA"/>
    <w:rsid w:val="004829EE"/>
    <w:rsid w:val="0048707E"/>
    <w:rsid w:val="004B28D1"/>
    <w:rsid w:val="004C6AA2"/>
    <w:rsid w:val="004E1703"/>
    <w:rsid w:val="004E6528"/>
    <w:rsid w:val="004E7CDC"/>
    <w:rsid w:val="00501469"/>
    <w:rsid w:val="00505DC9"/>
    <w:rsid w:val="005404BE"/>
    <w:rsid w:val="005506E2"/>
    <w:rsid w:val="005535C1"/>
    <w:rsid w:val="0055472B"/>
    <w:rsid w:val="0055492A"/>
    <w:rsid w:val="00556D01"/>
    <w:rsid w:val="00571D1C"/>
    <w:rsid w:val="005775E5"/>
    <w:rsid w:val="005A5554"/>
    <w:rsid w:val="005B3041"/>
    <w:rsid w:val="005D2984"/>
    <w:rsid w:val="005E37C9"/>
    <w:rsid w:val="005E3A8B"/>
    <w:rsid w:val="005E57FC"/>
    <w:rsid w:val="005E5D42"/>
    <w:rsid w:val="005E7640"/>
    <w:rsid w:val="006166AB"/>
    <w:rsid w:val="00616F3F"/>
    <w:rsid w:val="00617FA0"/>
    <w:rsid w:val="006256E7"/>
    <w:rsid w:val="006342D1"/>
    <w:rsid w:val="00651125"/>
    <w:rsid w:val="00655F37"/>
    <w:rsid w:val="006561E4"/>
    <w:rsid w:val="006642C0"/>
    <w:rsid w:val="00665174"/>
    <w:rsid w:val="006937A9"/>
    <w:rsid w:val="006971C6"/>
    <w:rsid w:val="006A661E"/>
    <w:rsid w:val="006B5AF5"/>
    <w:rsid w:val="006D2B0C"/>
    <w:rsid w:val="006F3042"/>
    <w:rsid w:val="00702B10"/>
    <w:rsid w:val="00715170"/>
    <w:rsid w:val="00732AA4"/>
    <w:rsid w:val="00773F95"/>
    <w:rsid w:val="007B1CF8"/>
    <w:rsid w:val="007C6332"/>
    <w:rsid w:val="007D228E"/>
    <w:rsid w:val="007D2F7B"/>
    <w:rsid w:val="007F040A"/>
    <w:rsid w:val="007F0EBC"/>
    <w:rsid w:val="007F6AD9"/>
    <w:rsid w:val="008068F0"/>
    <w:rsid w:val="00820D87"/>
    <w:rsid w:val="008316B6"/>
    <w:rsid w:val="008340C0"/>
    <w:rsid w:val="00834406"/>
    <w:rsid w:val="008507F7"/>
    <w:rsid w:val="0085130E"/>
    <w:rsid w:val="00854A83"/>
    <w:rsid w:val="00867497"/>
    <w:rsid w:val="00895C4A"/>
    <w:rsid w:val="008B19A9"/>
    <w:rsid w:val="009023DF"/>
    <w:rsid w:val="009077BD"/>
    <w:rsid w:val="009109FE"/>
    <w:rsid w:val="00912414"/>
    <w:rsid w:val="00936B38"/>
    <w:rsid w:val="00936F41"/>
    <w:rsid w:val="00946F85"/>
    <w:rsid w:val="009570A5"/>
    <w:rsid w:val="0098228E"/>
    <w:rsid w:val="00983EAA"/>
    <w:rsid w:val="00987507"/>
    <w:rsid w:val="00994EBE"/>
    <w:rsid w:val="009A78BA"/>
    <w:rsid w:val="009F0F3B"/>
    <w:rsid w:val="009F1365"/>
    <w:rsid w:val="009F5527"/>
    <w:rsid w:val="00A179FC"/>
    <w:rsid w:val="00A37DA1"/>
    <w:rsid w:val="00A416D0"/>
    <w:rsid w:val="00A46D3B"/>
    <w:rsid w:val="00A46E46"/>
    <w:rsid w:val="00A67E9D"/>
    <w:rsid w:val="00A768C5"/>
    <w:rsid w:val="00A92407"/>
    <w:rsid w:val="00AA03A7"/>
    <w:rsid w:val="00AA6AE4"/>
    <w:rsid w:val="00AB54AE"/>
    <w:rsid w:val="00AB771D"/>
    <w:rsid w:val="00AC1849"/>
    <w:rsid w:val="00AC6439"/>
    <w:rsid w:val="00B0601E"/>
    <w:rsid w:val="00B327B0"/>
    <w:rsid w:val="00B7225F"/>
    <w:rsid w:val="00B72542"/>
    <w:rsid w:val="00B73EFE"/>
    <w:rsid w:val="00B73F94"/>
    <w:rsid w:val="00B80079"/>
    <w:rsid w:val="00B9634A"/>
    <w:rsid w:val="00BC6C8C"/>
    <w:rsid w:val="00BD40B4"/>
    <w:rsid w:val="00BE5F1C"/>
    <w:rsid w:val="00BF5BE8"/>
    <w:rsid w:val="00C01ED8"/>
    <w:rsid w:val="00C02705"/>
    <w:rsid w:val="00C160A9"/>
    <w:rsid w:val="00C31ED8"/>
    <w:rsid w:val="00C52F8F"/>
    <w:rsid w:val="00C63805"/>
    <w:rsid w:val="00C8282B"/>
    <w:rsid w:val="00C902FC"/>
    <w:rsid w:val="00C91957"/>
    <w:rsid w:val="00C9270C"/>
    <w:rsid w:val="00C9385E"/>
    <w:rsid w:val="00C95DEE"/>
    <w:rsid w:val="00CD7E27"/>
    <w:rsid w:val="00CF0BE9"/>
    <w:rsid w:val="00D01623"/>
    <w:rsid w:val="00D04759"/>
    <w:rsid w:val="00D101D3"/>
    <w:rsid w:val="00D25991"/>
    <w:rsid w:val="00D2650C"/>
    <w:rsid w:val="00D44C95"/>
    <w:rsid w:val="00D467A2"/>
    <w:rsid w:val="00D54894"/>
    <w:rsid w:val="00D54D20"/>
    <w:rsid w:val="00D56A27"/>
    <w:rsid w:val="00D63E2B"/>
    <w:rsid w:val="00D75A3C"/>
    <w:rsid w:val="00D90A46"/>
    <w:rsid w:val="00DA1CAF"/>
    <w:rsid w:val="00DC691C"/>
    <w:rsid w:val="00DE478B"/>
    <w:rsid w:val="00DE6081"/>
    <w:rsid w:val="00E13349"/>
    <w:rsid w:val="00E43C44"/>
    <w:rsid w:val="00E45A81"/>
    <w:rsid w:val="00E643B9"/>
    <w:rsid w:val="00E7088F"/>
    <w:rsid w:val="00E825C1"/>
    <w:rsid w:val="00EA7597"/>
    <w:rsid w:val="00EC2738"/>
    <w:rsid w:val="00EC4ABB"/>
    <w:rsid w:val="00ED3E0B"/>
    <w:rsid w:val="00EE29AB"/>
    <w:rsid w:val="00EE3309"/>
    <w:rsid w:val="00EE7CF5"/>
    <w:rsid w:val="00EF58BE"/>
    <w:rsid w:val="00F0229E"/>
    <w:rsid w:val="00F11DC1"/>
    <w:rsid w:val="00F40C08"/>
    <w:rsid w:val="00F44C2D"/>
    <w:rsid w:val="00F46711"/>
    <w:rsid w:val="00F46A76"/>
    <w:rsid w:val="00F51635"/>
    <w:rsid w:val="00F53435"/>
    <w:rsid w:val="00F67AAA"/>
    <w:rsid w:val="00F70AB3"/>
    <w:rsid w:val="00F8618F"/>
    <w:rsid w:val="00F936FA"/>
    <w:rsid w:val="00FA2E0C"/>
    <w:rsid w:val="00FA5CA8"/>
    <w:rsid w:val="00FB6481"/>
    <w:rsid w:val="00FD2E4B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F3F6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87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87C"/>
  </w:style>
  <w:style w:type="paragraph" w:styleId="Footer">
    <w:name w:val="footer"/>
    <w:basedOn w:val="Normal"/>
    <w:link w:val="FooterChar"/>
    <w:uiPriority w:val="99"/>
    <w:unhideWhenUsed/>
    <w:rsid w:val="001B387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87C"/>
  </w:style>
  <w:style w:type="character" w:styleId="CommentReference">
    <w:name w:val="annotation reference"/>
    <w:basedOn w:val="DefaultParagraphFont"/>
    <w:uiPriority w:val="99"/>
    <w:semiHidden/>
    <w:unhideWhenUsed/>
    <w:rsid w:val="00B06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01E"/>
    <w:rPr>
      <w:rFonts w:eastAsiaTheme="minorHAnsi"/>
      <w:sz w:val="20"/>
      <w:szCs w:val="20"/>
      <w:lang w:val="es-H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01E"/>
    <w:rPr>
      <w:sz w:val="20"/>
      <w:szCs w:val="20"/>
      <w:lang w:val="es-H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01E"/>
    <w:rPr>
      <w:rFonts w:ascii="Times New Roman" w:eastAsiaTheme="minorEastAsia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BD"/>
    <w:rPr>
      <w:rFonts w:eastAsiaTheme="minorEastAsia"/>
      <w:b/>
      <w:bCs/>
      <w:lang w:val="es-C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BD"/>
    <w:rPr>
      <w:rFonts w:eastAsiaTheme="minorEastAsia"/>
      <w:b/>
      <w:bCs/>
      <w:sz w:val="20"/>
      <w:szCs w:val="20"/>
      <w:lang w:val="es-HN"/>
    </w:rPr>
  </w:style>
  <w:style w:type="table" w:styleId="TableGrid">
    <w:name w:val="Table Grid"/>
    <w:basedOn w:val="TableNormal"/>
    <w:uiPriority w:val="59"/>
    <w:rsid w:val="0040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72B"/>
    <w:pPr>
      <w:ind w:left="720"/>
      <w:contextualSpacing/>
    </w:pPr>
    <w:rPr>
      <w:rFonts w:ascii="Bookman Old Style" w:eastAsia="Times New Roman" w:hAnsi="Bookman Old Style" w:cs="Times New Roman"/>
      <w:szCs w:val="20"/>
      <w:lang w:val="es-ES"/>
    </w:rPr>
  </w:style>
  <w:style w:type="character" w:styleId="Strong">
    <w:name w:val="Strong"/>
    <w:basedOn w:val="DefaultParagraphFont"/>
    <w:uiPriority w:val="22"/>
    <w:qFormat/>
    <w:rsid w:val="0055472B"/>
    <w:rPr>
      <w:b/>
      <w:bCs/>
    </w:rPr>
  </w:style>
  <w:style w:type="paragraph" w:styleId="NormalWeb">
    <w:name w:val="Normal (Web)"/>
    <w:basedOn w:val="Normal"/>
    <w:uiPriority w:val="99"/>
    <w:unhideWhenUsed/>
    <w:rsid w:val="00C9195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copre">
    <w:name w:val="acopre"/>
    <w:basedOn w:val="DefaultParagraphFont"/>
    <w:rsid w:val="00D01623"/>
  </w:style>
  <w:style w:type="paragraph" w:customStyle="1" w:styleId="paragraph">
    <w:name w:val="paragraph"/>
    <w:basedOn w:val="Normal"/>
    <w:rsid w:val="003359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BC6C8C"/>
    <w:rPr>
      <w:color w:val="0000FF"/>
      <w:u w:val="single"/>
    </w:rPr>
  </w:style>
  <w:style w:type="paragraph" w:styleId="Revision">
    <w:name w:val="Revision"/>
    <w:hidden/>
    <w:uiPriority w:val="99"/>
    <w:semiHidden/>
    <w:rsid w:val="006561E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E41058B41AC04483403A8CEAF38267" ma:contentTypeVersion="21" ma:contentTypeDescription="Crear nuevo documento." ma:contentTypeScope="" ma:versionID="34717cbd6a436a726596bfcb382b5c07">
  <xsd:schema xmlns:xsd="http://www.w3.org/2001/XMLSchema" xmlns:xs="http://www.w3.org/2001/XMLSchema" xmlns:p="http://schemas.microsoft.com/office/2006/metadata/properties" xmlns:ns2="e543cf84-0f20-4ac0-ab50-01cabaa9fded" xmlns:ns3="3bf38c67-fc5b-460e-bbdd-f28a942737aa" targetNamespace="http://schemas.microsoft.com/office/2006/metadata/properties" ma:root="true" ma:fieldsID="f2853bef661fe1c2fd2c377daa9d021d" ns2:_="" ns3:_="">
    <xsd:import namespace="e543cf84-0f20-4ac0-ab50-01cabaa9fded"/>
    <xsd:import namespace="3bf38c67-fc5b-460e-bbdd-f28a942737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3cf84-0f20-4ac0-ab50-01cabaa9f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c6b41ed0-841c-4289-ba82-c1615b4ee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38c67-fc5b-460e-bbdd-f28a942737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6873604-83F7-49A5-86B0-50445451AC68}" ma:internalName="TaxCatchAll" ma:showField="CatchAllData" ma:web="{54a4d440-9541-460d-8a76-b1975d7e8e0b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43cf84-0f20-4ac0-ab50-01cabaa9fded">
      <Terms xmlns="http://schemas.microsoft.com/office/infopath/2007/PartnerControls"/>
    </lcf76f155ced4ddcb4097134ff3c332f>
    <TaxCatchAll xmlns="3bf38c67-fc5b-460e-bbdd-f28a942737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AC5AFA-4C28-4D0B-A07C-1B9263442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3cf84-0f20-4ac0-ab50-01cabaa9fded"/>
    <ds:schemaRef ds:uri="3bf38c67-fc5b-460e-bbdd-f28a942737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D9379F-4840-4B4E-AEFE-D1388A55AE3C}">
  <ds:schemaRefs>
    <ds:schemaRef ds:uri="http://schemas.microsoft.com/office/2006/metadata/properties"/>
    <ds:schemaRef ds:uri="http://schemas.microsoft.com/office/infopath/2007/PartnerControls"/>
    <ds:schemaRef ds:uri="e543cf84-0f20-4ac0-ab50-01cabaa9fded"/>
    <ds:schemaRef ds:uri="3bf38c67-fc5b-460e-bbdd-f28a942737aa"/>
  </ds:schemaRefs>
</ds:datastoreItem>
</file>

<file path=customXml/itemProps3.xml><?xml version="1.0" encoding="utf-8"?>
<ds:datastoreItem xmlns:ds="http://schemas.openxmlformats.org/officeDocument/2006/customXml" ds:itemID="{02C3F2A8-4094-4153-AB7F-D991BF3378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3EE502-E050-4302-A804-552E2E27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769</Words>
  <Characters>4388</Characters>
  <Application>Microsoft Office Word</Application>
  <DocSecurity>4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2021-03-17T16:25:00Z</cp:lastPrinted>
  <dcterms:created xsi:type="dcterms:W3CDTF">2023-05-26T16:17:00Z</dcterms:created>
  <dcterms:modified xsi:type="dcterms:W3CDTF">2023-05-26T16:17:00Z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0x0101002AE41058B41AC04483403A8CEAF38267</vt:lpwstr>
  </property>
  <property fmtid="{D5CDD505-2E9C-101B-9397-08002B2CF9AE}" pid="3" name="MSIP_Label_cf47f881-adc5-4399-b192-5cbb86fc4c86_Enabled">
    <vt:lpwstr>true</vt:lpwstr>
  </property>
  <property fmtid="{D5CDD505-2E9C-101B-9397-08002B2CF9AE}" pid="4" name="MSIP_Label_cf47f881-adc5-4399-b192-5cbb86fc4c86_SetDate">
    <vt:lpwstr>2021-04-21T01:28:34Z</vt:lpwstr>
  </property>
  <property fmtid="{D5CDD505-2E9C-101B-9397-08002B2CF9AE}" pid="5" name="MSIP_Label_cf47f881-adc5-4399-b192-5cbb86fc4c86_Method">
    <vt:lpwstr>Privileged</vt:lpwstr>
  </property>
  <property fmtid="{D5CDD505-2E9C-101B-9397-08002B2CF9AE}" pid="6" name="MSIP_Label_cf47f881-adc5-4399-b192-5cbb86fc4c86_Name">
    <vt:lpwstr>cf47f881-adc5-4399-b192-5cbb86fc4c86</vt:lpwstr>
  </property>
  <property fmtid="{D5CDD505-2E9C-101B-9397-08002B2CF9AE}" pid="7" name="MSIP_Label_cf47f881-adc5-4399-b192-5cbb86fc4c86_SiteId">
    <vt:lpwstr>7c454549-6212-4ac1-be14-96aadbceb0ba</vt:lpwstr>
  </property>
  <property fmtid="{D5CDD505-2E9C-101B-9397-08002B2CF9AE}" pid="8" name="MSIP_Label_cf47f881-adc5-4399-b192-5cbb86fc4c86_ActionId">
    <vt:lpwstr>dd2d352d-d6d1-4b09-8ad9-9dcee1f403cc</vt:lpwstr>
  </property>
  <property fmtid="{D5CDD505-2E9C-101B-9397-08002B2CF9AE}" pid="9" name="MSIP_Label_cf47f881-adc5-4399-b192-5cbb86fc4c86_ContentBits">
    <vt:lpwstr>2</vt:lpwstr>
  </property>
  <property fmtid="{D5CDD505-2E9C-101B-9397-08002B2CF9AE}" pid="10" name="MediaServiceImageTags">
    <vt:lpwstr/>
  </property>
</Properties>
</file>